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134F38FB"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F33AD1" w:rsidRPr="00F33AD1">
              <w:rPr>
                <w:rFonts w:asciiTheme="majorHAnsi" w:hAnsiTheme="majorHAnsi" w:cs="Arial"/>
                <w:b/>
                <w:sz w:val="18"/>
                <w:szCs w:val="18"/>
              </w:rPr>
              <w:t>Multimedia in Experimental Chemistry</w:t>
            </w:r>
            <w:bookmarkEnd w:id="0"/>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461E3F8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Pr>
                <w:rFonts w:asciiTheme="majorHAnsi" w:hAnsiTheme="majorHAnsi" w:cs="Arial"/>
                <w:b/>
                <w:sz w:val="18"/>
                <w:szCs w:val="18"/>
              </w:rPr>
              <w:t> </w:t>
            </w:r>
            <w:r w:rsidR="00F33AD1">
              <w:rPr>
                <w:rFonts w:asciiTheme="majorHAnsi" w:hAnsiTheme="majorHAnsi" w:cs="Arial"/>
                <w:b/>
                <w:sz w:val="18"/>
                <w:szCs w:val="18"/>
              </w:rPr>
              <w:t> </w:t>
            </w:r>
            <w:r w:rsidR="00F33AD1">
              <w:rPr>
                <w:rFonts w:asciiTheme="majorHAnsi" w:hAnsiTheme="majorHAnsi" w:cs="Arial"/>
                <w:b/>
                <w:sz w:val="18"/>
                <w:szCs w:val="18"/>
              </w:rPr>
              <w:t> </w:t>
            </w:r>
            <w:r w:rsidR="00F33AD1">
              <w:rPr>
                <w:rFonts w:asciiTheme="majorHAnsi" w:hAnsiTheme="majorHAnsi" w:cs="Arial"/>
                <w:b/>
                <w:sz w:val="18"/>
                <w:szCs w:val="18"/>
              </w:rPr>
              <w:t> </w:t>
            </w:r>
            <w:r w:rsidR="00F33AD1">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1177FBE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33AD1">
              <w:rPr>
                <w:rFonts w:asciiTheme="majorHAnsi" w:hAnsiTheme="majorHAnsi" w:cs="Arial"/>
                <w:b/>
                <w:sz w:val="18"/>
                <w:szCs w:val="18"/>
              </w:rPr>
              <w:t>1</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4308A3C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33AD1">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008C8DF8"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C05FE3">
                    <w:rPr>
                      <w:rFonts w:asciiTheme="majorHAnsi" w:hAnsiTheme="majorHAnsi" w:cs="Arial"/>
                      <w:b/>
                      <w:sz w:val="18"/>
                      <w:szCs w:val="18"/>
                    </w:rPr>
                  </w:r>
                  <w:r w:rsidR="00C05FE3">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532138EF"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3AD1" w:rsidRPr="00F33AD1">
              <w:rPr>
                <w:rFonts w:asciiTheme="majorHAnsi" w:hAnsiTheme="majorHAnsi"/>
                <w:b/>
                <w:sz w:val="18"/>
                <w:szCs w:val="18"/>
              </w:rPr>
              <w:t>No prerequisites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33240305"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3AD1" w:rsidRPr="00F33AD1">
              <w:rPr>
                <w:rFonts w:asciiTheme="majorHAnsi" w:hAnsiTheme="majorHAnsi"/>
                <w:b/>
                <w:sz w:val="18"/>
                <w:szCs w:val="18"/>
              </w:rPr>
              <w:t>First-cycle students of the Faculty of Natural Sciences and Mathematics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6DFF321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3AD1">
              <w:rPr>
                <w:rFonts w:asciiTheme="majorHAnsi" w:hAnsiTheme="majorHAnsi"/>
                <w:b/>
                <w:sz w:val="18"/>
                <w:szCs w:val="18"/>
              </w:rPr>
              <w:t>1</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4ACFC9AF"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Pr>
                <w:rFonts w:asciiTheme="majorHAnsi" w:hAnsiTheme="majorHAnsi" w:cs="Arial"/>
                <w:b/>
                <w:sz w:val="18"/>
                <w:szCs w:val="18"/>
              </w:rPr>
              <w:t>6</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2079203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3AD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11016D13"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Pr>
                <w:rFonts w:asciiTheme="majorHAnsi" w:hAnsiTheme="majorHAnsi" w:cs="Arial"/>
                <w:b/>
                <w:sz w:val="18"/>
                <w:szCs w:val="18"/>
              </w:rPr>
              <w:t>22.50</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61D55EB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3AD1">
              <w:rPr>
                <w:rFonts w:asciiTheme="majorHAnsi" w:hAnsiTheme="majorHAnsi"/>
                <w:b/>
                <w:sz w:val="18"/>
                <w:szCs w:val="18"/>
              </w:rPr>
              <w:t>1</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19A29E7D"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Pr>
                <w:rFonts w:asciiTheme="majorHAnsi" w:hAnsiTheme="majorHAnsi" w:cs="Arial"/>
                <w:b/>
                <w:sz w:val="18"/>
                <w:szCs w:val="18"/>
              </w:rPr>
              <w:t>60.7</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519FFEB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3AD1">
              <w:rPr>
                <w:rFonts w:asciiTheme="majorHAnsi" w:hAnsiTheme="majorHAnsi"/>
                <w:b/>
                <w:sz w:val="18"/>
                <w:szCs w:val="18"/>
              </w:rPr>
              <w:t>0</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1B6E5C3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Pr>
                <w:rFonts w:asciiTheme="majorHAnsi" w:hAnsiTheme="majorHAnsi" w:cs="Arial"/>
                <w:b/>
                <w:sz w:val="18"/>
                <w:szCs w:val="18"/>
              </w:rPr>
              <w:t>82.57</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2A146CC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 xml:space="preserve">Chemistry – Chemistry </w:t>
            </w:r>
            <w:r w:rsidR="00FB48B6" w:rsidRPr="00B96B4F">
              <w:rPr>
                <w:rFonts w:asciiTheme="majorHAnsi" w:hAnsiTheme="majorHAnsi" w:cs="Arial"/>
                <w:b/>
                <w:sz w:val="18"/>
                <w:szCs w:val="18"/>
              </w:rPr>
              <w:t> </w:t>
            </w:r>
            <w:r w:rsidR="00F33AD1">
              <w:rPr>
                <w:rFonts w:asciiTheme="majorHAnsi" w:hAnsiTheme="majorHAnsi" w:cs="Arial"/>
                <w:b/>
                <w:sz w:val="18"/>
                <w:szCs w:val="18"/>
              </w:rPr>
              <w:t>/</w:t>
            </w:r>
            <w:r w:rsidR="00FB48B6" w:rsidRPr="00B96B4F">
              <w:rPr>
                <w:rFonts w:asciiTheme="majorHAnsi" w:hAnsiTheme="majorHAnsi" w:cs="Arial"/>
                <w:b/>
                <w:sz w:val="18"/>
                <w:szCs w:val="18"/>
              </w:rPr>
              <w:t> </w:t>
            </w:r>
            <w:r w:rsidR="00F33AD1" w:rsidRPr="00F33AD1">
              <w:rPr>
                <w:rFonts w:asciiTheme="majorHAnsi" w:hAnsiTheme="majorHAnsi" w:cs="Arial"/>
                <w:b/>
                <w:sz w:val="18"/>
                <w:szCs w:val="18"/>
              </w:rPr>
              <w:t>Education in Chemistry</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4EBA948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33AD1">
              <w:rPr>
                <w:rFonts w:asciiTheme="majorHAnsi" w:hAnsiTheme="majorHAnsi" w:cs="Arial"/>
                <w:b/>
                <w:sz w:val="18"/>
                <w:szCs w:val="18"/>
              </w:rPr>
              <w:t>Amira Cipurković</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C44FA6" w14:textId="1CAE1BEE" w:rsidR="00CB72ED" w:rsidRPr="00B96B4F"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sidRPr="00F33AD1">
              <w:rPr>
                <w:rFonts w:asciiTheme="majorHAnsi" w:hAnsiTheme="majorHAnsi" w:cs="Arial"/>
                <w:b/>
                <w:sz w:val="18"/>
                <w:szCs w:val="18"/>
              </w:rPr>
              <w:t>Training students to use multimedia in the implementation of the experimental part of chemistry teaching.</w:t>
            </w:r>
            <w:r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5EAA0F4" w14:textId="1D916627" w:rsidR="00CB72ED" w:rsidRPr="00B96B4F"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sidRPr="00F33AD1">
              <w:rPr>
                <w:rFonts w:asciiTheme="majorHAnsi" w:hAnsiTheme="majorHAnsi" w:cs="Arial"/>
                <w:b/>
                <w:sz w:val="18"/>
                <w:szCs w:val="18"/>
              </w:rPr>
              <w:t>After successfully completing the learning process, students are expected to understand the principles and methods of using various modern multimedia tools in the implementation of the experimental part of chemistry teaching, as well as in learning chemistry.</w:t>
            </w:r>
            <w:r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5B57C06" w14:textId="77777777" w:rsidR="00F33AD1" w:rsidRPr="00F33AD1" w:rsidRDefault="006D5B9B" w:rsidP="00F33A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sidRPr="00F33AD1">
              <w:rPr>
                <w:rFonts w:asciiTheme="majorHAnsi" w:hAnsiTheme="majorHAnsi" w:cs="Arial"/>
                <w:b/>
                <w:sz w:val="18"/>
                <w:szCs w:val="18"/>
              </w:rPr>
              <w:t>Multimedia in Chemistry</w:t>
            </w:r>
          </w:p>
          <w:p w14:paraId="594B42CF"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The Role of Multimedia in Teaching Chemistry</w:t>
            </w:r>
          </w:p>
          <w:p w14:paraId="6A02829C"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The Role of Multimedia in Learning Chemistry</w:t>
            </w:r>
          </w:p>
          <w:p w14:paraId="6DCBC0C2"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The Role of Multimedia in Teaching – Three Cognitive Levels</w:t>
            </w:r>
          </w:p>
          <w:p w14:paraId="15CA5D85"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YouTube in Chemistry Teaching</w:t>
            </w:r>
          </w:p>
          <w:p w14:paraId="328EE9E5"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Advantages and Disadvantages of Using the Internet in Teaching</w:t>
            </w:r>
          </w:p>
          <w:p w14:paraId="05038925"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Use of Educational Software and DVD Materials</w:t>
            </w:r>
          </w:p>
          <w:p w14:paraId="3BB9811F" w14:textId="6954BB84" w:rsidR="00CB72ED" w:rsidRPr="00B96B4F"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Demonstration of Experiments Using Multimedia</w:t>
            </w:r>
            <w:r w:rsidR="006D5B9B"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504C40D" w14:textId="77777777" w:rsidR="00F33AD1" w:rsidRPr="00F33AD1" w:rsidRDefault="006D5B9B" w:rsidP="00F33A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sidRPr="00F33AD1">
              <w:rPr>
                <w:rFonts w:asciiTheme="majorHAnsi" w:hAnsiTheme="majorHAnsi" w:cs="Arial"/>
                <w:b/>
                <w:sz w:val="18"/>
                <w:szCs w:val="18"/>
              </w:rPr>
              <w:t>Lectures with active student participation and discussions</w:t>
            </w:r>
          </w:p>
          <w:p w14:paraId="47D36B24" w14:textId="4F5CB29A" w:rsidR="00CB72ED" w:rsidRPr="00B96B4F"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Auditorium/lab exercises</w:t>
            </w:r>
            <w:r w:rsidR="006D5B9B"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64EA524" w14:textId="02FB0C1B" w:rsidR="00E11D98" w:rsidRDefault="006D5B9B" w:rsidP="00F33A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Pr>
                <w:rFonts w:asciiTheme="majorHAnsi" w:hAnsiTheme="majorHAnsi" w:cs="Arial"/>
                <w:b/>
                <w:sz w:val="18"/>
                <w:szCs w:val="18"/>
              </w:rPr>
              <w:t>T</w:t>
            </w:r>
            <w:r w:rsidR="00F33AD1" w:rsidRPr="00F33AD1">
              <w:rPr>
                <w:rFonts w:asciiTheme="majorHAnsi" w:hAnsiTheme="majorHAnsi" w:cs="Arial"/>
                <w:b/>
                <w:sz w:val="18"/>
                <w:szCs w:val="18"/>
              </w:rPr>
              <w:t>o assess the knowledge acquired in the course, both written methods (tests) and oral methods (seminar papers) are used.For continuous attendance and active participation in lectures and exercises throughout the semester, a student can earn a maximum of 20 points.During the semester, students take a written test covering the topics taught in lectures and exercises. A student can earn a maximum of 25 points on the test.</w:t>
            </w:r>
            <w:r w:rsidR="00F33AD1">
              <w:rPr>
                <w:rFonts w:asciiTheme="majorHAnsi" w:hAnsiTheme="majorHAnsi" w:cs="Arial"/>
                <w:b/>
                <w:sz w:val="18"/>
                <w:szCs w:val="18"/>
              </w:rPr>
              <w:t xml:space="preserve"> </w:t>
            </w:r>
            <w:r w:rsidR="00F33AD1" w:rsidRPr="00F33AD1">
              <w:rPr>
                <w:rFonts w:asciiTheme="majorHAnsi" w:hAnsiTheme="majorHAnsi" w:cs="Arial"/>
                <w:b/>
                <w:sz w:val="18"/>
                <w:szCs w:val="18"/>
              </w:rPr>
              <w:t>The final exam is an oral exam in the form of a seminar paper (on a given topic), with a maximum of 15 + 40 points.Assessments from all forms of evaluation are recognized as cumulative. To pass the course, a student must earn a minimum of 55 cumulative points.</w:t>
            </w:r>
          </w:p>
          <w:p w14:paraId="3FEC31B7" w14:textId="77777777" w:rsidR="00E11D98" w:rsidRDefault="00E11D98" w:rsidP="00E11D98">
            <w:pPr>
              <w:pStyle w:val="NoSpacing"/>
              <w:rPr>
                <w:rFonts w:asciiTheme="majorHAnsi" w:hAnsiTheme="majorHAnsi" w:cs="Arial"/>
                <w:b/>
                <w:sz w:val="18"/>
                <w:szCs w:val="18"/>
              </w:rPr>
            </w:pP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5CF79C9" w14:textId="184BD836" w:rsidR="00F33AD1" w:rsidRPr="00F33AD1" w:rsidRDefault="006D5B9B" w:rsidP="00F33A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sidRPr="00F33AD1">
              <w:rPr>
                <w:rFonts w:asciiTheme="majorHAnsi" w:hAnsiTheme="majorHAnsi" w:cs="Arial"/>
                <w:b/>
                <w:sz w:val="18"/>
                <w:szCs w:val="18"/>
              </w:rPr>
              <w:t>The exam grade is based on the total number of points a student earns by completing pre-exam requirements and taking the exam, according to the quality of acquired knowledge and skills. The maximum number of points is 100, and grades are determined according to the following scale:</w:t>
            </w:r>
          </w:p>
          <w:p w14:paraId="7C79123D"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Point Distribution:</w:t>
            </w:r>
          </w:p>
          <w:p w14:paraId="46C2D85D"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Attendance – 5 points</w:t>
            </w:r>
          </w:p>
          <w:p w14:paraId="7CAB19FE"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Class participation – 15 points</w:t>
            </w:r>
          </w:p>
          <w:p w14:paraId="6D6CD8C1"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Test – 25 points</w:t>
            </w:r>
          </w:p>
          <w:p w14:paraId="1F6073BA"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Seminar paper – 15 points</w:t>
            </w:r>
          </w:p>
          <w:p w14:paraId="238CEC8B"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Final exam – 40 points</w:t>
            </w:r>
          </w:p>
          <w:p w14:paraId="78CCD34E"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Grade Scale (Weighting Factor):</w:t>
            </w:r>
          </w:p>
          <w:p w14:paraId="1BB81089"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55–64 points = 6 (six)</w:t>
            </w:r>
          </w:p>
          <w:p w14:paraId="7F8F3B67"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65–74 points = 7 (seven)</w:t>
            </w:r>
          </w:p>
          <w:p w14:paraId="19B1F798"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75–84 points = 8 (eight)</w:t>
            </w:r>
          </w:p>
          <w:p w14:paraId="603783D8" w14:textId="17D775D3" w:rsidR="00CB72ED" w:rsidRPr="00B96B4F"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85–94 points = 9 (nine)</w:t>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E21A6E1" w14:textId="77777777" w:rsidR="00F33AD1" w:rsidRPr="00F33AD1" w:rsidRDefault="006D5B9B" w:rsidP="00F33A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3AD1" w:rsidRPr="00F33AD1">
              <w:rPr>
                <w:rFonts w:asciiTheme="majorHAnsi" w:hAnsiTheme="majorHAnsi" w:cs="Arial"/>
                <w:b/>
                <w:sz w:val="18"/>
                <w:szCs w:val="18"/>
              </w:rPr>
              <w:t>Perina, I. (2004). Chemical Experiments in Optical Projection. Zagreb: Školska knjiga.</w:t>
            </w:r>
          </w:p>
          <w:p w14:paraId="213C03AE"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Mishra, S., Sharma, R.C. (2005). Interactive Multimedia in Education and Training. Hershey, USA: IDEA Group Publishing.</w:t>
            </w:r>
          </w:p>
          <w:p w14:paraId="60DECD9A" w14:textId="77777777" w:rsidR="00F33AD1" w:rsidRPr="00F33AD1"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Multimedia Demonstrations by Dr. Karl Harrison, Department of Chemistry, University of Oxford.</w:t>
            </w:r>
          </w:p>
          <w:p w14:paraId="28F7BF18" w14:textId="4F29169A" w:rsidR="00CB72ED" w:rsidRPr="00B96B4F" w:rsidRDefault="00F33AD1" w:rsidP="00F33AD1">
            <w:pPr>
              <w:pStyle w:val="NoSpacing"/>
              <w:rPr>
                <w:rFonts w:asciiTheme="majorHAnsi" w:hAnsiTheme="majorHAnsi" w:cs="Arial"/>
                <w:b/>
                <w:sz w:val="18"/>
                <w:szCs w:val="18"/>
              </w:rPr>
            </w:pPr>
            <w:r w:rsidRPr="00F33AD1">
              <w:rPr>
                <w:rFonts w:asciiTheme="majorHAnsi" w:hAnsiTheme="majorHAnsi" w:cs="Arial"/>
                <w:b/>
                <w:sz w:val="18"/>
                <w:szCs w:val="18"/>
              </w:rPr>
              <w:t>Multimedia in Chemistry Teaching – DVD Chemistry 1 and Chemistry 2, Selection of video films on DVDs Chemistry 1 and 2, Zagreb: PROFIL Multimedia.</w:t>
            </w:r>
            <w:r w:rsidR="006D5B9B"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8B0926"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B810824" w14:textId="2AAB15AF" w:rsidR="00CB72ED" w:rsidRPr="00B96B4F"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00CC350E" w:rsidRPr="00CC350E">
              <w:rPr>
                <w:rFonts w:asciiTheme="majorHAnsi" w:hAnsiTheme="majorHAnsi" w:cs="Arial"/>
                <w:b/>
                <w:sz w:val="18"/>
                <w:szCs w:val="18"/>
              </w:rPr>
              <w:t xml:space="preserve"> http://www.chem.ox.ac.uk/it/chemfun.html    </w:t>
            </w:r>
            <w:r w:rsidR="003E3835" w:rsidRPr="003E3835">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D85A9" w14:textId="77777777" w:rsidR="00C05FE3" w:rsidRDefault="00C05FE3">
      <w:pPr>
        <w:spacing w:line="240" w:lineRule="auto"/>
      </w:pPr>
      <w:r>
        <w:separator/>
      </w:r>
    </w:p>
  </w:endnote>
  <w:endnote w:type="continuationSeparator" w:id="0">
    <w:p w14:paraId="4DE25739" w14:textId="77777777" w:rsidR="00C05FE3" w:rsidRDefault="00C05F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1276374B"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892880">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892880">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892880">
            <w:rPr>
              <w:rFonts w:ascii="Cambria" w:hAnsi="Cambria" w:cs="Calibri"/>
              <w:noProof/>
              <w:sz w:val="16"/>
              <w:szCs w:val="16"/>
            </w:rPr>
            <w:t>3</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69B43" w14:textId="77777777" w:rsidR="00C05FE3" w:rsidRDefault="00C05FE3">
      <w:pPr>
        <w:spacing w:after="0"/>
      </w:pPr>
      <w:r>
        <w:separator/>
      </w:r>
    </w:p>
  </w:footnote>
  <w:footnote w:type="continuationSeparator" w:id="0">
    <w:p w14:paraId="6D846E2D" w14:textId="77777777" w:rsidR="00C05FE3" w:rsidRDefault="00C05F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6A6"/>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63B3D"/>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CB1"/>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2880"/>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05FE3"/>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350E"/>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4AC0"/>
    <w:rsid w:val="00E059AF"/>
    <w:rsid w:val="00E06E08"/>
    <w:rsid w:val="00E11D9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33AD1"/>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B23A9-4A2E-4ECD-8D4B-62407D7C4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2026-03-13T09:29:00Z</dcterms:created>
  <dcterms:modified xsi:type="dcterms:W3CDTF">2026-03-13T09:29:00Z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